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2F" w:rsidRPr="004437F7" w:rsidRDefault="002A1C2F" w:rsidP="002A1C2F">
      <w:pPr>
        <w:pStyle w:val="Titre"/>
        <w:pBdr>
          <w:top w:val="none" w:sz="0" w:space="0" w:color="auto"/>
          <w:left w:val="none" w:sz="0" w:space="0" w:color="auto"/>
          <w:bottom w:val="none" w:sz="0" w:space="0" w:color="auto"/>
          <w:right w:val="none" w:sz="0" w:space="0" w:color="auto"/>
        </w:pBdr>
        <w:shd w:val="clear" w:color="auto" w:fill="auto"/>
        <w:jc w:val="left"/>
        <w:rPr>
          <w:sz w:val="22"/>
          <w:szCs w:val="22"/>
        </w:rPr>
      </w:pPr>
      <w:r w:rsidRPr="004437F7">
        <w:rPr>
          <w:sz w:val="22"/>
          <w:szCs w:val="22"/>
        </w:rPr>
        <w:t xml:space="preserve">NOM :                         Prénom :  </w:t>
      </w:r>
      <w:r>
        <w:rPr>
          <w:sz w:val="22"/>
          <w:szCs w:val="22"/>
        </w:rPr>
        <w:t xml:space="preserve">                Date :  </w:t>
      </w:r>
      <w:r w:rsidRPr="004437F7">
        <w:rPr>
          <w:sz w:val="22"/>
          <w:szCs w:val="22"/>
        </w:rPr>
        <w:t xml:space="preserve">  Classe : T</w:t>
      </w:r>
      <w:r>
        <w:rPr>
          <w:sz w:val="22"/>
          <w:szCs w:val="22"/>
        </w:rPr>
        <w:t xml:space="preserve"> </w:t>
      </w:r>
      <w:bookmarkStart w:id="0" w:name="_GoBack"/>
      <w:bookmarkEnd w:id="0"/>
    </w:p>
    <w:p w:rsidR="002A1C2F" w:rsidRDefault="002A1C2F" w:rsidP="002A1C2F">
      <w:pPr>
        <w:pStyle w:val="Titre"/>
        <w:shd w:val="clear" w:color="auto" w:fill="BFBFBF" w:themeFill="background1" w:themeFillShade="BF"/>
      </w:pPr>
      <w:r>
        <w:t>DEVOIR</w:t>
      </w:r>
    </w:p>
    <w:p w:rsidR="002A1C2F" w:rsidRDefault="002A1C2F" w:rsidP="002A1C2F">
      <w:pPr>
        <w:rPr>
          <w:rFonts w:ascii="Comic Sans MS" w:hAnsi="Comic Sans MS"/>
          <w:sz w:val="16"/>
        </w:rPr>
      </w:pPr>
    </w:p>
    <w:p w:rsidR="002A1C2F" w:rsidRDefault="002A1C2F" w:rsidP="002A1C2F">
      <w:pPr>
        <w:pStyle w:val="Sous-titre"/>
      </w:pPr>
      <w:r>
        <w:t>EXERCICE 1</w:t>
      </w:r>
      <w:r>
        <w:rPr>
          <w:b w:val="0"/>
          <w:bCs w:val="0"/>
          <w:i/>
          <w:iCs/>
          <w:sz w:val="18"/>
          <w:u w:val="none"/>
        </w:rPr>
        <w:t xml:space="preserve"> (11 points)</w:t>
      </w:r>
    </w:p>
    <w:p w:rsidR="002A1C2F" w:rsidRDefault="002A1C2F" w:rsidP="002A1C2F">
      <w:pPr>
        <w:rPr>
          <w:rFonts w:ascii="Comic Sans MS" w:hAnsi="Comic Sans MS"/>
          <w:sz w:val="16"/>
        </w:rPr>
      </w:pPr>
    </w:p>
    <w:p w:rsidR="002A1C2F" w:rsidRDefault="002A1C2F" w:rsidP="002A1C2F">
      <w:pPr>
        <w:rPr>
          <w:rFonts w:ascii="Comic Sans MS" w:hAnsi="Comic Sans MS"/>
          <w:sz w:val="22"/>
          <w:szCs w:val="22"/>
        </w:rPr>
      </w:pPr>
      <w:r>
        <w:rPr>
          <w:rFonts w:ascii="Comic Sans MS" w:hAnsi="Comic Sans MS"/>
          <w:sz w:val="22"/>
          <w:szCs w:val="22"/>
        </w:rPr>
        <w:t>Chaque année une campagne de prévention contre le tabagisme est réalisée. L’augmentation du prix du paquet de cigarettes est un moyen de lutte contre la progression de la consommation de tabac.</w:t>
      </w:r>
    </w:p>
    <w:p w:rsidR="002A1C2F" w:rsidRPr="00AA637D" w:rsidRDefault="002A1C2F" w:rsidP="002A1C2F">
      <w:pPr>
        <w:rPr>
          <w:rFonts w:asciiTheme="minorHAnsi" w:hAnsiTheme="minorHAnsi" w:cstheme="minorHAnsi"/>
          <w:b/>
          <w:sz w:val="10"/>
          <w:szCs w:val="10"/>
        </w:rPr>
      </w:pPr>
    </w:p>
    <w:p w:rsidR="002A1C2F" w:rsidRDefault="002A1C2F" w:rsidP="002A1C2F">
      <w:pPr>
        <w:rPr>
          <w:rFonts w:ascii="Comic Sans MS" w:hAnsi="Comic Sans MS"/>
          <w:sz w:val="22"/>
          <w:szCs w:val="22"/>
        </w:rPr>
      </w:pPr>
      <w:r w:rsidRPr="0030524C">
        <w:rPr>
          <w:rFonts w:asciiTheme="minorHAnsi" w:hAnsiTheme="minorHAnsi" w:cstheme="minorHAnsi"/>
          <w:b/>
          <w:sz w:val="26"/>
          <w:szCs w:val="26"/>
        </w:rPr>
        <w:t>PROBLEMATIQUE</w:t>
      </w:r>
      <w:r>
        <w:rPr>
          <w:rFonts w:ascii="Comic Sans MS" w:hAnsi="Comic Sans MS"/>
          <w:sz w:val="22"/>
          <w:szCs w:val="22"/>
        </w:rPr>
        <w:t> : Peut-on prévoir le prix d’un paquet de cigarettes en 2020 à partir de</w:t>
      </w:r>
    </w:p>
    <w:p w:rsidR="002A1C2F" w:rsidRDefault="002A1C2F" w:rsidP="002A1C2F">
      <w:pPr>
        <w:ind w:left="1416" w:firstLine="708"/>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données</w:t>
      </w:r>
      <w:proofErr w:type="gramEnd"/>
      <w:r>
        <w:rPr>
          <w:rFonts w:ascii="Comic Sans MS" w:hAnsi="Comic Sans MS"/>
          <w:sz w:val="22"/>
          <w:szCs w:val="22"/>
        </w:rPr>
        <w:t xml:space="preserve"> statistiques prises sur internet ?</w:t>
      </w:r>
    </w:p>
    <w:p w:rsidR="002A1C2F" w:rsidRDefault="002A1C2F" w:rsidP="002A1C2F">
      <w:pPr>
        <w:rPr>
          <w:rFonts w:ascii="Comic Sans MS" w:hAnsi="Comic Sans MS"/>
          <w:sz w:val="22"/>
          <w:szCs w:val="22"/>
        </w:rPr>
      </w:pPr>
      <w:r w:rsidRPr="0030524C">
        <w:rPr>
          <w:rFonts w:asciiTheme="minorHAnsi" w:hAnsiTheme="minorHAnsi" w:cstheme="minorHAnsi"/>
          <w:b/>
          <w:sz w:val="26"/>
          <w:szCs w:val="26"/>
          <w:u w:val="single"/>
        </w:rPr>
        <w:t>PARTIE A </w:t>
      </w:r>
      <w:r>
        <w:rPr>
          <w:rFonts w:ascii="Comic Sans MS" w:hAnsi="Comic Sans MS"/>
          <w:sz w:val="22"/>
          <w:szCs w:val="22"/>
        </w:rPr>
        <w:t>:</w:t>
      </w:r>
    </w:p>
    <w:p w:rsidR="002A1C2F" w:rsidRPr="004437F7" w:rsidRDefault="002A1C2F" w:rsidP="002A1C2F">
      <w:pPr>
        <w:rPr>
          <w:rFonts w:ascii="Comic Sans MS" w:hAnsi="Comic Sans MS"/>
          <w:sz w:val="16"/>
          <w:szCs w:val="16"/>
        </w:rPr>
      </w:pPr>
    </w:p>
    <w:p w:rsidR="002A1C2F" w:rsidRDefault="002A1C2F" w:rsidP="002A1C2F">
      <w:pPr>
        <w:rPr>
          <w:rFonts w:ascii="Comic Sans MS" w:hAnsi="Comic Sans MS"/>
          <w:sz w:val="22"/>
          <w:szCs w:val="22"/>
        </w:rPr>
      </w:pPr>
      <w:r>
        <w:rPr>
          <w:rFonts w:ascii="Comic Sans MS" w:hAnsi="Comic Sans MS"/>
          <w:sz w:val="22"/>
          <w:szCs w:val="22"/>
        </w:rPr>
        <w:t>Le tableau suivant indique l’évolution de prix en euros d’un paquet de 20 cigarettes blondes de 2009 à 2016.</w:t>
      </w:r>
    </w:p>
    <w:p w:rsidR="002A1C2F" w:rsidRPr="004437F7" w:rsidRDefault="002A1C2F" w:rsidP="002A1C2F">
      <w:pPr>
        <w:rPr>
          <w:rFonts w:ascii="Comic Sans MS" w:hAnsi="Comic Sans MS"/>
          <w:sz w:val="16"/>
          <w:szCs w:val="16"/>
        </w:rPr>
      </w:pPr>
    </w:p>
    <w:tbl>
      <w:tblPr>
        <w:tblStyle w:val="Grilledutableau"/>
        <w:tblW w:w="0" w:type="auto"/>
        <w:tblLook w:val="04A0" w:firstRow="1" w:lastRow="0" w:firstColumn="1" w:lastColumn="0" w:noHBand="0" w:noVBand="1"/>
      </w:tblPr>
      <w:tblGrid>
        <w:gridCol w:w="1102"/>
        <w:gridCol w:w="1102"/>
        <w:gridCol w:w="1102"/>
        <w:gridCol w:w="1102"/>
        <w:gridCol w:w="1102"/>
        <w:gridCol w:w="1102"/>
        <w:gridCol w:w="1102"/>
        <w:gridCol w:w="1103"/>
        <w:gridCol w:w="1103"/>
      </w:tblGrid>
      <w:tr w:rsidR="002A1C2F" w:rsidTr="00B11680">
        <w:trPr>
          <w:trHeight w:val="408"/>
        </w:trPr>
        <w:tc>
          <w:tcPr>
            <w:tcW w:w="1102" w:type="dxa"/>
            <w:shd w:val="clear" w:color="auto" w:fill="BFBFBF" w:themeFill="background1" w:themeFillShade="BF"/>
            <w:vAlign w:val="center"/>
          </w:tcPr>
          <w:p w:rsidR="002A1C2F" w:rsidRPr="0030524C" w:rsidRDefault="002A1C2F" w:rsidP="00B11680">
            <w:pPr>
              <w:jc w:val="center"/>
              <w:rPr>
                <w:rFonts w:asciiTheme="minorHAnsi" w:hAnsiTheme="minorHAnsi" w:cstheme="minorHAnsi"/>
                <w:b/>
              </w:rPr>
            </w:pPr>
            <w:r w:rsidRPr="0030524C">
              <w:rPr>
                <w:rFonts w:asciiTheme="minorHAnsi" w:hAnsiTheme="minorHAnsi" w:cstheme="minorHAnsi"/>
                <w:b/>
              </w:rPr>
              <w:t>Année</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2009</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2010</w:t>
            </w:r>
          </w:p>
        </w:tc>
        <w:tc>
          <w:tcPr>
            <w:tcW w:w="1102" w:type="dxa"/>
            <w:vAlign w:val="center"/>
          </w:tcPr>
          <w:p w:rsidR="002A1C2F" w:rsidRPr="0030524C" w:rsidRDefault="002A1C2F" w:rsidP="002A1C2F">
            <w:pPr>
              <w:jc w:val="center"/>
              <w:rPr>
                <w:rFonts w:asciiTheme="minorHAnsi" w:hAnsiTheme="minorHAnsi" w:cstheme="minorHAnsi"/>
              </w:rPr>
            </w:pPr>
            <w:r>
              <w:rPr>
                <w:rFonts w:asciiTheme="minorHAnsi" w:hAnsiTheme="minorHAnsi" w:cstheme="minorHAnsi"/>
              </w:rPr>
              <w:t>2011</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20012</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2013</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2014</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2015</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2016</w:t>
            </w:r>
          </w:p>
        </w:tc>
      </w:tr>
      <w:tr w:rsidR="002A1C2F" w:rsidTr="00B11680">
        <w:trPr>
          <w:trHeight w:val="413"/>
        </w:trPr>
        <w:tc>
          <w:tcPr>
            <w:tcW w:w="1102" w:type="dxa"/>
            <w:shd w:val="clear" w:color="auto" w:fill="BFBFBF" w:themeFill="background1" w:themeFillShade="BF"/>
            <w:vAlign w:val="center"/>
          </w:tcPr>
          <w:p w:rsidR="002A1C2F" w:rsidRPr="0030524C" w:rsidRDefault="002A1C2F" w:rsidP="00B11680">
            <w:pPr>
              <w:jc w:val="center"/>
              <w:rPr>
                <w:rFonts w:asciiTheme="minorHAnsi" w:hAnsiTheme="minorHAnsi" w:cstheme="minorHAnsi"/>
                <w:b/>
              </w:rPr>
            </w:pPr>
            <w:r w:rsidRPr="0030524C">
              <w:rPr>
                <w:rFonts w:asciiTheme="minorHAnsi" w:hAnsiTheme="minorHAnsi" w:cstheme="minorHAnsi"/>
                <w:b/>
              </w:rPr>
              <w:t xml:space="preserve">Rang </w:t>
            </w:r>
            <m:oMath>
              <m:r>
                <m:rPr>
                  <m:sty m:val="bi"/>
                </m:rPr>
                <w:rPr>
                  <w:rFonts w:ascii="Cambria Math" w:hAnsiTheme="minorHAnsi" w:cstheme="minorHAnsi"/>
                </w:rPr>
                <m:t>(</m:t>
              </m:r>
              <m:sSub>
                <m:sSubPr>
                  <m:ctrlPr>
                    <w:rPr>
                      <w:rFonts w:ascii="Cambria Math" w:hAnsiTheme="minorHAnsi" w:cstheme="minorHAnsi"/>
                      <w:b/>
                      <w:i/>
                    </w:rPr>
                  </m:ctrlPr>
                </m:sSubPr>
                <m:e>
                  <m:r>
                    <m:rPr>
                      <m:sty m:val="bi"/>
                    </m:rPr>
                    <w:rPr>
                      <w:rFonts w:ascii="Cambria Math" w:hAnsi="Cambria Math" w:cstheme="minorHAnsi"/>
                    </w:rPr>
                    <m:t>x</m:t>
                  </m:r>
                </m:e>
                <m:sub>
                  <m:r>
                    <m:rPr>
                      <m:sty m:val="bi"/>
                    </m:rPr>
                    <w:rPr>
                      <w:rFonts w:ascii="Cambria Math" w:hAnsi="Cambria Math" w:cstheme="minorHAnsi"/>
                    </w:rPr>
                    <m:t>i</m:t>
                  </m:r>
                </m:sub>
              </m:sSub>
              <m:r>
                <m:rPr>
                  <m:sty m:val="bi"/>
                </m:rPr>
                <w:rPr>
                  <w:rFonts w:ascii="Cambria Math" w:hAnsiTheme="minorHAnsi" w:cstheme="minorHAnsi"/>
                </w:rPr>
                <m:t>)</m:t>
              </m:r>
            </m:oMath>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1</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2</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3</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4</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5</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6</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7</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8</w:t>
            </w:r>
          </w:p>
        </w:tc>
      </w:tr>
      <w:tr w:rsidR="002A1C2F" w:rsidTr="00B11680">
        <w:tc>
          <w:tcPr>
            <w:tcW w:w="1102" w:type="dxa"/>
            <w:shd w:val="clear" w:color="auto" w:fill="BFBFBF" w:themeFill="background1" w:themeFillShade="BF"/>
            <w:vAlign w:val="center"/>
          </w:tcPr>
          <w:p w:rsidR="002A1C2F" w:rsidRPr="0030524C" w:rsidRDefault="002A1C2F" w:rsidP="00B11680">
            <w:pPr>
              <w:jc w:val="center"/>
              <w:rPr>
                <w:rFonts w:asciiTheme="minorHAnsi" w:hAnsiTheme="minorHAnsi" w:cstheme="minorHAnsi"/>
                <w:b/>
              </w:rPr>
            </w:pPr>
            <w:r w:rsidRPr="0030524C">
              <w:rPr>
                <w:rFonts w:asciiTheme="minorHAnsi" w:hAnsiTheme="minorHAnsi" w:cstheme="minorHAnsi"/>
                <w:b/>
              </w:rPr>
              <w:t xml:space="preserve">Prix en € </w:t>
            </w:r>
            <m:oMath>
              <m:r>
                <m:rPr>
                  <m:sty m:val="bi"/>
                </m:rPr>
                <w:rPr>
                  <w:rFonts w:ascii="Cambria Math" w:hAnsiTheme="minorHAnsi" w:cstheme="minorHAnsi"/>
                </w:rPr>
                <m:t>(</m:t>
              </m:r>
              <m:sSub>
                <m:sSubPr>
                  <m:ctrlPr>
                    <w:rPr>
                      <w:rFonts w:ascii="Cambria Math" w:hAnsiTheme="minorHAnsi" w:cstheme="minorHAnsi"/>
                      <w:b/>
                      <w:i/>
                    </w:rPr>
                  </m:ctrlPr>
                </m:sSubPr>
                <m:e>
                  <m:r>
                    <m:rPr>
                      <m:sty m:val="bi"/>
                    </m:rPr>
                    <w:rPr>
                      <w:rFonts w:ascii="Cambria Math" w:hAnsi="Cambria Math" w:cstheme="minorHAnsi"/>
                    </w:rPr>
                    <m:t>y</m:t>
                  </m:r>
                </m:e>
                <m:sub>
                  <m:r>
                    <m:rPr>
                      <m:sty m:val="bi"/>
                    </m:rPr>
                    <w:rPr>
                      <w:rFonts w:ascii="Cambria Math" w:hAnsi="Cambria Math" w:cstheme="minorHAnsi"/>
                    </w:rPr>
                    <m:t>i</m:t>
                  </m:r>
                </m:sub>
              </m:sSub>
              <m:r>
                <m:rPr>
                  <m:sty m:val="bi"/>
                </m:rPr>
                <w:rPr>
                  <w:rFonts w:ascii="Cambria Math" w:hAnsiTheme="minorHAnsi" w:cstheme="minorHAnsi"/>
                </w:rPr>
                <m:t>)</m:t>
              </m:r>
            </m:oMath>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5,60</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5,90</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6</w:t>
            </w:r>
            <w:r w:rsidR="0011459A">
              <w:rPr>
                <w:rFonts w:asciiTheme="minorHAnsi" w:hAnsiTheme="minorHAnsi" w:cstheme="minorHAnsi"/>
              </w:rPr>
              <w:t>,</w:t>
            </w:r>
            <w:r>
              <w:rPr>
                <w:rFonts w:asciiTheme="minorHAnsi" w:hAnsiTheme="minorHAnsi" w:cstheme="minorHAnsi"/>
              </w:rPr>
              <w:t>15</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6,50</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6,80</w:t>
            </w:r>
          </w:p>
        </w:tc>
        <w:tc>
          <w:tcPr>
            <w:tcW w:w="1102"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7</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7,10</w:t>
            </w:r>
          </w:p>
        </w:tc>
        <w:tc>
          <w:tcPr>
            <w:tcW w:w="1103" w:type="dxa"/>
            <w:vAlign w:val="center"/>
          </w:tcPr>
          <w:p w:rsidR="002A1C2F" w:rsidRPr="0030524C" w:rsidRDefault="002A1C2F" w:rsidP="00B11680">
            <w:pPr>
              <w:jc w:val="center"/>
              <w:rPr>
                <w:rFonts w:asciiTheme="minorHAnsi" w:hAnsiTheme="minorHAnsi" w:cstheme="minorHAnsi"/>
              </w:rPr>
            </w:pPr>
            <w:r>
              <w:rPr>
                <w:rFonts w:asciiTheme="minorHAnsi" w:hAnsiTheme="minorHAnsi" w:cstheme="minorHAnsi"/>
              </w:rPr>
              <w:t>7,30</w:t>
            </w:r>
          </w:p>
        </w:tc>
      </w:tr>
    </w:tbl>
    <w:p w:rsidR="002A1C2F" w:rsidRPr="004437F7" w:rsidRDefault="002A1C2F" w:rsidP="002A1C2F">
      <w:pPr>
        <w:rPr>
          <w:rFonts w:ascii="Comic Sans MS" w:hAnsi="Comic Sans MS"/>
          <w:sz w:val="16"/>
          <w:szCs w:val="16"/>
        </w:rPr>
      </w:pPr>
    </w:p>
    <w:p w:rsidR="002A1C2F" w:rsidRDefault="002A1C2F" w:rsidP="002A1C2F">
      <w:pPr>
        <w:pStyle w:val="Paragraphedeliste"/>
        <w:numPr>
          <w:ilvl w:val="0"/>
          <w:numId w:val="2"/>
        </w:numPr>
        <w:rPr>
          <w:rFonts w:ascii="Comic Sans MS" w:hAnsi="Comic Sans MS"/>
          <w:sz w:val="22"/>
          <w:szCs w:val="22"/>
        </w:rPr>
      </w:pPr>
      <w:r w:rsidRPr="004437F7">
        <w:rPr>
          <w:rFonts w:ascii="Comic Sans MS" w:hAnsi="Comic Sans MS"/>
          <w:b/>
          <w:sz w:val="22"/>
          <w:szCs w:val="22"/>
        </w:rPr>
        <w:t>a)</w:t>
      </w:r>
      <w:r>
        <w:rPr>
          <w:rFonts w:ascii="Comic Sans MS" w:hAnsi="Comic Sans MS"/>
          <w:sz w:val="22"/>
          <w:szCs w:val="22"/>
        </w:rPr>
        <w:t xml:space="preserve"> Compléter le nuage de points </w:t>
      </w:r>
      <m:oMath>
        <m:r>
          <w:rPr>
            <w:rFonts w:ascii="Cambria Math" w:hAnsi="Cambria Math"/>
            <w:sz w:val="22"/>
            <w:szCs w:val="22"/>
          </w:rPr>
          <m:t>M(</m:t>
        </m:r>
        <m:sSub>
          <m:sSubPr>
            <m:ctrlPr>
              <w:rPr>
                <w:rFonts w:ascii="Cambria Math" w:hAnsi="Cambria Math"/>
                <w:b/>
                <w:i/>
                <w:sz w:val="22"/>
                <w:szCs w:val="22"/>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sz w:val="22"/>
            <w:szCs w:val="22"/>
          </w:rPr>
          <m:t>)</m:t>
        </m:r>
      </m:oMath>
      <w:r>
        <w:rPr>
          <w:rFonts w:ascii="Comic Sans MS" w:hAnsi="Comic Sans MS"/>
          <w:b/>
          <w:sz w:val="22"/>
          <w:szCs w:val="22"/>
        </w:rPr>
        <w:t xml:space="preserve"> </w:t>
      </w:r>
      <w:r w:rsidRPr="004A760A">
        <w:rPr>
          <w:rFonts w:ascii="Comic Sans MS" w:hAnsi="Comic Sans MS"/>
          <w:sz w:val="22"/>
          <w:szCs w:val="22"/>
        </w:rPr>
        <w:t>dans le plan rapporté au repère orthogonal (</w:t>
      </w:r>
      <m:oMath>
        <m:sSub>
          <m:sSubPr>
            <m:ctrlPr>
              <w:rPr>
                <w:rFonts w:ascii="Cambria Math" w:hAnsi="Cambria Math"/>
                <w:i/>
                <w:sz w:val="22"/>
                <w:szCs w:val="22"/>
              </w:rPr>
            </m:ctrlPr>
          </m:sSubPr>
          <m:e>
            <m:r>
              <w:rPr>
                <w:rFonts w:ascii="Cambria Math" w:hAnsi="Cambria Math"/>
              </w:rPr>
              <m:t>Ox ;Oy)</m:t>
            </m:r>
          </m:e>
          <m:sub/>
        </m:sSub>
      </m:oMath>
    </w:p>
    <w:p w:rsidR="002A1C2F" w:rsidRDefault="002A1C2F" w:rsidP="002A1C2F">
      <w:pPr>
        <w:rPr>
          <w:rFonts w:ascii="Comic Sans MS" w:hAnsi="Comic Sans MS"/>
          <w:sz w:val="22"/>
          <w:szCs w:val="22"/>
        </w:rPr>
      </w:pPr>
      <w:r>
        <w:rPr>
          <w:rFonts w:ascii="Comic Sans MS" w:hAnsi="Comic Sans MS"/>
          <w:noProof/>
          <w:sz w:val="22"/>
          <w:szCs w:val="22"/>
        </w:rPr>
        <w:drawing>
          <wp:anchor distT="0" distB="0" distL="114300" distR="114300" simplePos="0" relativeHeight="251659264" behindDoc="1" locked="0" layoutInCell="1" allowOverlap="1">
            <wp:simplePos x="0" y="0"/>
            <wp:positionH relativeFrom="column">
              <wp:posOffset>168910</wp:posOffset>
            </wp:positionH>
            <wp:positionV relativeFrom="paragraph">
              <wp:posOffset>65405</wp:posOffset>
            </wp:positionV>
            <wp:extent cx="6486525" cy="4686300"/>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86525" cy="4686300"/>
                    </a:xfrm>
                    <a:prstGeom prst="rect">
                      <a:avLst/>
                    </a:prstGeom>
                    <a:noFill/>
                    <a:ln w="9525">
                      <a:noFill/>
                      <a:miter lim="800000"/>
                      <a:headEnd/>
                      <a:tailEnd/>
                    </a:ln>
                  </pic:spPr>
                </pic:pic>
              </a:graphicData>
            </a:graphic>
          </wp:anchor>
        </w:drawing>
      </w: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spacing w:line="276" w:lineRule="auto"/>
        <w:rPr>
          <w:rFonts w:ascii="Comic Sans MS" w:hAnsi="Comic Sans MS"/>
          <w:sz w:val="22"/>
          <w:szCs w:val="22"/>
        </w:rPr>
      </w:pPr>
      <w:r>
        <w:rPr>
          <w:rFonts w:ascii="Comic Sans MS" w:hAnsi="Comic Sans MS"/>
          <w:sz w:val="22"/>
          <w:szCs w:val="22"/>
        </w:rPr>
        <w:tab/>
      </w:r>
      <w:r w:rsidRPr="00C83E59">
        <w:rPr>
          <w:rFonts w:ascii="Comic Sans MS" w:hAnsi="Comic Sans MS"/>
          <w:b/>
          <w:sz w:val="22"/>
          <w:szCs w:val="22"/>
        </w:rPr>
        <w:t>b)</w:t>
      </w:r>
      <w:r>
        <w:rPr>
          <w:rFonts w:ascii="Comic Sans MS" w:hAnsi="Comic Sans MS"/>
          <w:sz w:val="22"/>
          <w:szCs w:val="22"/>
        </w:rPr>
        <w:t xml:space="preserve"> Proposer une méthode permettant d’estimer le prix d’un paquet de cigarettes en 2020, en</w:t>
      </w:r>
    </w:p>
    <w:p w:rsidR="002A1C2F" w:rsidRDefault="002A1C2F" w:rsidP="002A1C2F">
      <w:pPr>
        <w:spacing w:line="276" w:lineRule="auto"/>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supposant</w:t>
      </w:r>
      <w:proofErr w:type="gramEnd"/>
      <w:r>
        <w:rPr>
          <w:rFonts w:ascii="Comic Sans MS" w:hAnsi="Comic Sans MS"/>
          <w:sz w:val="22"/>
          <w:szCs w:val="22"/>
        </w:rPr>
        <w:t xml:space="preserve"> que l’évolution constatée entre 2009 et 2016 se poursuive les années suivantes.</w:t>
      </w:r>
    </w:p>
    <w:p w:rsidR="002A1C2F" w:rsidRDefault="002A1C2F" w:rsidP="002A1C2F">
      <w:pPr>
        <w:spacing w:line="276" w:lineRule="auto"/>
        <w:rPr>
          <w:rFonts w:ascii="Comic Sans MS" w:hAnsi="Comic Sans MS"/>
          <w:sz w:val="22"/>
          <w:szCs w:val="22"/>
        </w:rPr>
      </w:pPr>
    </w:p>
    <w:p w:rsidR="002A1C2F" w:rsidRPr="005231E7" w:rsidRDefault="002A1C2F" w:rsidP="002A1C2F">
      <w:pPr>
        <w:jc w:val="center"/>
        <w:rPr>
          <w:rFonts w:ascii="Comic Sans MS" w:hAnsi="Comic Sans MS"/>
          <w:b/>
          <w:sz w:val="22"/>
          <w:szCs w:val="22"/>
        </w:rPr>
      </w:pPr>
      <w:r w:rsidRPr="005231E7">
        <w:rPr>
          <w:rFonts w:ascii="Comic Sans MS" w:hAnsi="Comic Sans MS"/>
          <w:b/>
          <w:sz w:val="22"/>
          <w:szCs w:val="22"/>
        </w:rPr>
        <w:t xml:space="preserve">APPEL : </w:t>
      </w:r>
      <w:r>
        <w:rPr>
          <w:rFonts w:ascii="Comic Sans MS" w:hAnsi="Comic Sans MS"/>
          <w:b/>
          <w:sz w:val="22"/>
          <w:szCs w:val="22"/>
        </w:rPr>
        <w:t>Expliquer oralement au professeur votre méthode de résolution.</w:t>
      </w:r>
    </w:p>
    <w:p w:rsidR="002A1C2F" w:rsidRDefault="002A1C2F" w:rsidP="002A1C2F">
      <w:pPr>
        <w:pStyle w:val="Paragraphedeliste"/>
        <w:numPr>
          <w:ilvl w:val="0"/>
          <w:numId w:val="2"/>
        </w:numPr>
        <w:spacing w:line="276" w:lineRule="auto"/>
        <w:rPr>
          <w:rFonts w:ascii="Comic Sans MS" w:hAnsi="Comic Sans MS"/>
          <w:sz w:val="22"/>
          <w:szCs w:val="22"/>
        </w:rPr>
      </w:pPr>
      <w:r w:rsidRPr="00C83E59">
        <w:rPr>
          <w:rFonts w:ascii="Comic Sans MS" w:hAnsi="Comic Sans MS"/>
          <w:b/>
          <w:sz w:val="22"/>
          <w:szCs w:val="22"/>
        </w:rPr>
        <w:lastRenderedPageBreak/>
        <w:t>a)</w:t>
      </w:r>
      <w:r w:rsidRPr="00C83E59">
        <w:rPr>
          <w:rFonts w:ascii="Comic Sans MS" w:hAnsi="Comic Sans MS"/>
          <w:sz w:val="22"/>
          <w:szCs w:val="22"/>
        </w:rPr>
        <w:t xml:space="preserve"> </w:t>
      </w:r>
      <w:r>
        <w:rPr>
          <w:rFonts w:ascii="Comic Sans MS" w:hAnsi="Comic Sans MS"/>
          <w:sz w:val="22"/>
          <w:szCs w:val="22"/>
        </w:rPr>
        <w:t>Calculer les coordonnées du point moyen G de ce nuage, arrondir à 0,01.</w:t>
      </w:r>
    </w:p>
    <w:p w:rsidR="002A1C2F" w:rsidRDefault="002A1C2F" w:rsidP="002A1C2F">
      <w:pPr>
        <w:pStyle w:val="Paragraphedeliste"/>
        <w:spacing w:line="276" w:lineRule="auto"/>
        <w:rPr>
          <w:rFonts w:ascii="Comic Sans MS" w:hAnsi="Comic Sans MS"/>
          <w:sz w:val="22"/>
          <w:szCs w:val="22"/>
        </w:rPr>
      </w:pPr>
      <w:r w:rsidRPr="00C83E59">
        <w:rPr>
          <w:rFonts w:ascii="Comic Sans MS" w:hAnsi="Comic Sans MS"/>
          <w:b/>
          <w:sz w:val="22"/>
          <w:szCs w:val="22"/>
        </w:rPr>
        <w:t>b)</w:t>
      </w:r>
      <w:r>
        <w:rPr>
          <w:rFonts w:ascii="Comic Sans MS" w:hAnsi="Comic Sans MS"/>
          <w:sz w:val="22"/>
          <w:szCs w:val="22"/>
        </w:rPr>
        <w:t xml:space="preserve"> Tracer une droite d’ajustement du nuage passant par le point G.</w:t>
      </w:r>
    </w:p>
    <w:p w:rsidR="002A1C2F" w:rsidRDefault="002A1C2F" w:rsidP="002A1C2F">
      <w:pPr>
        <w:pStyle w:val="Paragraphedeliste"/>
        <w:spacing w:line="276" w:lineRule="auto"/>
        <w:rPr>
          <w:rFonts w:ascii="Comic Sans MS" w:hAnsi="Comic Sans MS"/>
          <w:sz w:val="22"/>
          <w:szCs w:val="22"/>
        </w:rPr>
      </w:pPr>
      <w:r w:rsidRPr="00C83E59">
        <w:rPr>
          <w:rFonts w:ascii="Comic Sans MS" w:hAnsi="Comic Sans MS"/>
          <w:b/>
          <w:sz w:val="22"/>
          <w:szCs w:val="22"/>
        </w:rPr>
        <w:t>c)</w:t>
      </w:r>
      <w:r>
        <w:rPr>
          <w:rFonts w:ascii="Comic Sans MS" w:hAnsi="Comic Sans MS"/>
          <w:sz w:val="22"/>
          <w:szCs w:val="22"/>
        </w:rPr>
        <w:t xml:space="preserve"> En utilisant la droite tracée, peut-on déterminer graphiquement le prix prévisible d’un paquet de cigarettes en 2023 ? Justifier.</w:t>
      </w:r>
    </w:p>
    <w:p w:rsidR="002A1C2F" w:rsidRDefault="002A1C2F" w:rsidP="002A1C2F">
      <w:pPr>
        <w:pStyle w:val="Paragraphedeliste"/>
        <w:spacing w:line="276" w:lineRule="auto"/>
        <w:rPr>
          <w:rFonts w:ascii="Comic Sans MS" w:hAnsi="Comic Sans MS"/>
          <w:sz w:val="22"/>
          <w:szCs w:val="22"/>
        </w:rPr>
      </w:pPr>
    </w:p>
    <w:p w:rsidR="002A1C2F" w:rsidRDefault="002A1C2F" w:rsidP="002A1C2F">
      <w:pPr>
        <w:pStyle w:val="Paragraphedeliste"/>
        <w:numPr>
          <w:ilvl w:val="0"/>
          <w:numId w:val="2"/>
        </w:numPr>
        <w:spacing w:line="276" w:lineRule="auto"/>
        <w:rPr>
          <w:rFonts w:ascii="Comic Sans MS" w:hAnsi="Comic Sans MS"/>
          <w:sz w:val="22"/>
          <w:szCs w:val="22"/>
        </w:rPr>
      </w:pPr>
      <w:r w:rsidRPr="00C83E59">
        <w:rPr>
          <w:rFonts w:ascii="Comic Sans MS" w:hAnsi="Comic Sans MS"/>
          <w:b/>
          <w:sz w:val="22"/>
          <w:szCs w:val="22"/>
        </w:rPr>
        <w:t>a)</w:t>
      </w:r>
      <w:r>
        <w:rPr>
          <w:rFonts w:ascii="Comic Sans MS" w:hAnsi="Comic Sans MS"/>
          <w:sz w:val="22"/>
          <w:szCs w:val="22"/>
        </w:rPr>
        <w:t xml:space="preserve"> Afin de modéliser l’évolution du prix du paquet de cigarettes, calculer les coefficients </w:t>
      </w:r>
      <m:oMath>
        <m:r>
          <w:rPr>
            <w:rFonts w:ascii="Cambria Math" w:hAnsi="Cambria Math"/>
            <w:sz w:val="22"/>
            <w:szCs w:val="22"/>
          </w:rPr>
          <m:t>a</m:t>
        </m:r>
      </m:oMath>
      <w:r>
        <w:rPr>
          <w:rFonts w:ascii="Comic Sans MS" w:hAnsi="Comic Sans MS"/>
          <w:sz w:val="22"/>
          <w:szCs w:val="22"/>
        </w:rPr>
        <w:t xml:space="preserve"> </w:t>
      </w:r>
      <w:proofErr w:type="gramStart"/>
      <w:r>
        <w:rPr>
          <w:rFonts w:ascii="Comic Sans MS" w:hAnsi="Comic Sans MS"/>
          <w:sz w:val="22"/>
          <w:szCs w:val="22"/>
        </w:rPr>
        <w:t xml:space="preserve">et </w:t>
      </w:r>
      <w:proofErr w:type="gramEnd"/>
      <m:oMath>
        <m:r>
          <w:rPr>
            <w:rFonts w:ascii="Cambria Math" w:hAnsi="Cambria Math"/>
            <w:sz w:val="22"/>
            <w:szCs w:val="22"/>
          </w:rPr>
          <m:t>b</m:t>
        </m:r>
      </m:oMath>
      <w:r w:rsidR="00952B64">
        <w:rPr>
          <w:rFonts w:ascii="Comic Sans MS" w:hAnsi="Comic Sans MS"/>
          <w:sz w:val="22"/>
          <w:szCs w:val="22"/>
        </w:rPr>
        <w:t>, arrondis à 0,</w:t>
      </w:r>
      <w:r>
        <w:rPr>
          <w:rFonts w:ascii="Comic Sans MS" w:hAnsi="Comic Sans MS"/>
          <w:sz w:val="22"/>
          <w:szCs w:val="22"/>
        </w:rPr>
        <w:t xml:space="preserve">01, de la droite d’ajustement (D) : </w:t>
      </w:r>
      <m:oMath>
        <m:r>
          <w:rPr>
            <w:rFonts w:ascii="Cambria Math" w:hAnsi="Cambria Math"/>
            <w:sz w:val="22"/>
            <w:szCs w:val="22"/>
          </w:rPr>
          <m:t>y=ax+b</m:t>
        </m:r>
      </m:oMath>
      <w:r>
        <w:rPr>
          <w:rFonts w:ascii="Comic Sans MS" w:hAnsi="Comic Sans MS"/>
          <w:sz w:val="22"/>
          <w:szCs w:val="22"/>
        </w:rPr>
        <w:t xml:space="preserve"> à la calculatrice par la méthode des moindres carrés. Donner alors l’équation de la droite d’ajustement.</w:t>
      </w:r>
    </w:p>
    <w:p w:rsidR="002A1C2F" w:rsidRDefault="002A1C2F" w:rsidP="002A1C2F">
      <w:pPr>
        <w:pStyle w:val="Paragraphedeliste"/>
        <w:spacing w:line="276" w:lineRule="auto"/>
        <w:rPr>
          <w:rFonts w:ascii="Comic Sans MS" w:hAnsi="Comic Sans MS"/>
          <w:sz w:val="22"/>
          <w:szCs w:val="22"/>
        </w:rPr>
      </w:pPr>
      <w:r w:rsidRPr="00C83E59">
        <w:rPr>
          <w:rFonts w:ascii="Comic Sans MS" w:hAnsi="Comic Sans MS"/>
          <w:b/>
          <w:sz w:val="22"/>
          <w:szCs w:val="22"/>
        </w:rPr>
        <w:t>b)</w:t>
      </w:r>
      <w:r>
        <w:rPr>
          <w:rFonts w:ascii="Comic Sans MS" w:hAnsi="Comic Sans MS"/>
          <w:sz w:val="22"/>
          <w:szCs w:val="22"/>
        </w:rPr>
        <w:t xml:space="preserve"> Dans le repère précédant effectuer la représentation graphique de la droite (D) obtenue.</w:t>
      </w:r>
    </w:p>
    <w:p w:rsidR="002A1C2F" w:rsidRDefault="002A1C2F" w:rsidP="002A1C2F">
      <w:pPr>
        <w:pStyle w:val="Paragraphedeliste"/>
        <w:rPr>
          <w:rFonts w:ascii="Comic Sans MS" w:hAnsi="Comic Sans MS"/>
          <w:sz w:val="22"/>
          <w:szCs w:val="22"/>
        </w:rPr>
      </w:pPr>
    </w:p>
    <w:p w:rsidR="002A1C2F" w:rsidRDefault="002A1C2F" w:rsidP="002A1C2F">
      <w:pPr>
        <w:rPr>
          <w:rFonts w:ascii="Comic Sans MS" w:hAnsi="Comic Sans MS"/>
          <w:sz w:val="22"/>
          <w:szCs w:val="22"/>
        </w:rPr>
      </w:pPr>
      <w:r>
        <w:rPr>
          <w:rFonts w:asciiTheme="minorHAnsi" w:hAnsiTheme="minorHAnsi" w:cstheme="minorHAnsi"/>
          <w:b/>
          <w:sz w:val="26"/>
          <w:szCs w:val="26"/>
          <w:u w:val="single"/>
        </w:rPr>
        <w:t>PARTIE B</w:t>
      </w:r>
      <w:r w:rsidRPr="0030524C">
        <w:rPr>
          <w:rFonts w:asciiTheme="minorHAnsi" w:hAnsiTheme="minorHAnsi" w:cstheme="minorHAnsi"/>
          <w:b/>
          <w:sz w:val="26"/>
          <w:szCs w:val="26"/>
          <w:u w:val="single"/>
        </w:rPr>
        <w:t> </w:t>
      </w:r>
      <w:r>
        <w:rPr>
          <w:rFonts w:ascii="Comic Sans MS" w:hAnsi="Comic Sans MS"/>
          <w:sz w:val="22"/>
          <w:szCs w:val="22"/>
        </w:rPr>
        <w:t>:</w:t>
      </w:r>
    </w:p>
    <w:p w:rsidR="002A1C2F" w:rsidRPr="004437F7" w:rsidRDefault="002A1C2F" w:rsidP="002A1C2F">
      <w:pPr>
        <w:rPr>
          <w:rFonts w:ascii="Comic Sans MS" w:hAnsi="Comic Sans MS"/>
          <w:sz w:val="16"/>
          <w:szCs w:val="16"/>
        </w:rPr>
      </w:pPr>
    </w:p>
    <w:p w:rsidR="002A1C2F" w:rsidRDefault="002A1C2F" w:rsidP="002A1C2F">
      <w:pPr>
        <w:pStyle w:val="Paragraphedeliste"/>
        <w:numPr>
          <w:ilvl w:val="0"/>
          <w:numId w:val="3"/>
        </w:numPr>
        <w:spacing w:line="276" w:lineRule="auto"/>
        <w:rPr>
          <w:rFonts w:ascii="Comic Sans MS" w:hAnsi="Comic Sans MS"/>
          <w:sz w:val="22"/>
          <w:szCs w:val="22"/>
        </w:rPr>
      </w:pPr>
      <w:r>
        <w:rPr>
          <w:rFonts w:ascii="Comic Sans MS" w:hAnsi="Comic Sans MS"/>
          <w:sz w:val="22"/>
          <w:szCs w:val="22"/>
        </w:rPr>
        <w:t>Déterminer graphiquement le prix prévisible d’un paquet de cigarettes en 2020.</w:t>
      </w:r>
    </w:p>
    <w:p w:rsidR="002A1C2F" w:rsidRDefault="002A1C2F" w:rsidP="002A1C2F">
      <w:pPr>
        <w:pStyle w:val="Paragraphedeliste"/>
        <w:numPr>
          <w:ilvl w:val="0"/>
          <w:numId w:val="3"/>
        </w:numPr>
        <w:spacing w:line="276" w:lineRule="auto"/>
        <w:rPr>
          <w:rFonts w:ascii="Comic Sans MS" w:hAnsi="Comic Sans MS"/>
          <w:sz w:val="22"/>
          <w:szCs w:val="22"/>
        </w:rPr>
      </w:pPr>
      <w:r>
        <w:rPr>
          <w:rFonts w:ascii="Comic Sans MS" w:hAnsi="Comic Sans MS"/>
          <w:sz w:val="22"/>
          <w:szCs w:val="22"/>
        </w:rPr>
        <w:t>Déterminer par le calcul le prix prévisible d’un paquet de cigarettes en 2020.</w:t>
      </w:r>
    </w:p>
    <w:p w:rsidR="002A1C2F" w:rsidRDefault="002A1C2F" w:rsidP="002A1C2F">
      <w:pPr>
        <w:pStyle w:val="Paragraphedeliste"/>
        <w:numPr>
          <w:ilvl w:val="0"/>
          <w:numId w:val="3"/>
        </w:numPr>
        <w:spacing w:line="276" w:lineRule="auto"/>
        <w:rPr>
          <w:rFonts w:ascii="Comic Sans MS" w:hAnsi="Comic Sans MS"/>
          <w:sz w:val="22"/>
          <w:szCs w:val="22"/>
        </w:rPr>
      </w:pPr>
      <w:r>
        <w:rPr>
          <w:rFonts w:ascii="Comic Sans MS" w:hAnsi="Comic Sans MS"/>
          <w:sz w:val="22"/>
          <w:szCs w:val="22"/>
        </w:rPr>
        <w:t>Comparer le prix obtenu par le calcul avec celui obtenu graphiquement, puis répondre à la problématique.</w:t>
      </w:r>
    </w:p>
    <w:p w:rsidR="002A1C2F" w:rsidRPr="007661B0" w:rsidRDefault="002A1C2F" w:rsidP="002A1C2F">
      <w:pPr>
        <w:pStyle w:val="Paragraphedeliste"/>
        <w:spacing w:line="276" w:lineRule="auto"/>
        <w:ind w:left="1080"/>
        <w:rPr>
          <w:rFonts w:ascii="Comic Sans MS" w:hAnsi="Comic Sans MS"/>
          <w:sz w:val="22"/>
          <w:szCs w:val="22"/>
        </w:rPr>
      </w:pPr>
    </w:p>
    <w:tbl>
      <w:tblPr>
        <w:tblStyle w:val="Grilledutableau"/>
        <w:tblpPr w:leftFromText="141" w:rightFromText="141" w:vertAnchor="text" w:horzAnchor="margin" w:tblpXSpec="right" w:tblpY="245"/>
        <w:tblW w:w="0" w:type="auto"/>
        <w:tblLook w:val="04A0" w:firstRow="1" w:lastRow="0" w:firstColumn="1" w:lastColumn="0" w:noHBand="0" w:noVBand="1"/>
      </w:tblPr>
      <w:tblGrid>
        <w:gridCol w:w="1753"/>
        <w:gridCol w:w="2533"/>
      </w:tblGrid>
      <w:tr w:rsidR="002A1C2F" w:rsidRPr="00014BA8" w:rsidTr="00B11680">
        <w:tc>
          <w:tcPr>
            <w:tcW w:w="1753" w:type="dxa"/>
            <w:shd w:val="clear" w:color="auto" w:fill="BFBFBF" w:themeFill="background1" w:themeFillShade="BF"/>
            <w:vAlign w:val="center"/>
          </w:tcPr>
          <w:p w:rsidR="002A1C2F" w:rsidRPr="00014BA8" w:rsidRDefault="002A1C2F" w:rsidP="00B11680">
            <w:pPr>
              <w:jc w:val="center"/>
              <w:rPr>
                <w:b/>
              </w:rPr>
            </w:pPr>
            <w:r>
              <w:rPr>
                <w:b/>
              </w:rPr>
              <w:t>ALTITUDE</w:t>
            </w:r>
            <w:r w:rsidRPr="00014BA8">
              <w:rPr>
                <w:b/>
              </w:rPr>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oMath>
            <w:r w:rsidRPr="00014BA8">
              <w:rPr>
                <w:b/>
              </w:rPr>
              <w:t xml:space="preserve"> (en </w:t>
            </w:r>
            <w:r>
              <w:rPr>
                <w:b/>
              </w:rPr>
              <w:t>m</w:t>
            </w:r>
            <w:r w:rsidRPr="00014BA8">
              <w:rPr>
                <w:b/>
              </w:rPr>
              <w:t>)</w:t>
            </w:r>
          </w:p>
        </w:tc>
        <w:tc>
          <w:tcPr>
            <w:tcW w:w="2533" w:type="dxa"/>
            <w:shd w:val="clear" w:color="auto" w:fill="BFBFBF" w:themeFill="background1" w:themeFillShade="BF"/>
            <w:vAlign w:val="center"/>
          </w:tcPr>
          <w:p w:rsidR="002A1C2F" w:rsidRPr="00014BA8" w:rsidRDefault="002A1C2F" w:rsidP="00B11680">
            <w:pPr>
              <w:jc w:val="center"/>
              <w:rPr>
                <w:b/>
              </w:rPr>
            </w:pPr>
            <w:r>
              <w:rPr>
                <w:b/>
              </w:rPr>
              <w:t>NOMBRE D’AVALANCHES</w:t>
            </w:r>
            <w:r w:rsidRPr="00014BA8">
              <w:rPr>
                <w:b/>
              </w:rPr>
              <w:t xml:space="preserve">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w:p>
        </w:tc>
      </w:tr>
      <w:tr w:rsidR="002A1C2F" w:rsidTr="00B11680">
        <w:tc>
          <w:tcPr>
            <w:tcW w:w="1753" w:type="dxa"/>
            <w:vAlign w:val="center"/>
          </w:tcPr>
          <w:p w:rsidR="002A1C2F" w:rsidRDefault="002A1C2F" w:rsidP="00B11680">
            <w:pPr>
              <w:jc w:val="center"/>
            </w:pPr>
            <w:r>
              <w:t>1 850</w:t>
            </w:r>
          </w:p>
        </w:tc>
        <w:tc>
          <w:tcPr>
            <w:tcW w:w="2533" w:type="dxa"/>
            <w:vAlign w:val="center"/>
          </w:tcPr>
          <w:p w:rsidR="002A1C2F" w:rsidRDefault="002A1C2F" w:rsidP="00B11680">
            <w:pPr>
              <w:jc w:val="center"/>
            </w:pPr>
            <w:r>
              <w:t>1</w:t>
            </w:r>
          </w:p>
        </w:tc>
      </w:tr>
      <w:tr w:rsidR="002A1C2F" w:rsidTr="00B11680">
        <w:tc>
          <w:tcPr>
            <w:tcW w:w="1753" w:type="dxa"/>
            <w:vAlign w:val="center"/>
          </w:tcPr>
          <w:p w:rsidR="002A1C2F" w:rsidRDefault="002A1C2F" w:rsidP="00B11680">
            <w:pPr>
              <w:jc w:val="center"/>
            </w:pPr>
            <w:r>
              <w:t>1 950</w:t>
            </w:r>
          </w:p>
        </w:tc>
        <w:tc>
          <w:tcPr>
            <w:tcW w:w="2533" w:type="dxa"/>
            <w:vAlign w:val="center"/>
          </w:tcPr>
          <w:p w:rsidR="002A1C2F" w:rsidRDefault="002A1C2F" w:rsidP="00B11680">
            <w:pPr>
              <w:jc w:val="center"/>
            </w:pPr>
            <w:r>
              <w:t>4</w:t>
            </w:r>
          </w:p>
        </w:tc>
      </w:tr>
      <w:tr w:rsidR="002A1C2F" w:rsidTr="00B11680">
        <w:tc>
          <w:tcPr>
            <w:tcW w:w="1753" w:type="dxa"/>
            <w:vAlign w:val="center"/>
          </w:tcPr>
          <w:p w:rsidR="002A1C2F" w:rsidRDefault="002A1C2F" w:rsidP="00B11680">
            <w:pPr>
              <w:jc w:val="center"/>
            </w:pPr>
            <w:r>
              <w:t>2 050</w:t>
            </w:r>
          </w:p>
        </w:tc>
        <w:tc>
          <w:tcPr>
            <w:tcW w:w="2533" w:type="dxa"/>
            <w:vAlign w:val="center"/>
          </w:tcPr>
          <w:p w:rsidR="002A1C2F" w:rsidRDefault="002A1C2F" w:rsidP="00B11680">
            <w:pPr>
              <w:jc w:val="center"/>
            </w:pPr>
            <w:r>
              <w:t>16</w:t>
            </w:r>
          </w:p>
        </w:tc>
      </w:tr>
      <w:tr w:rsidR="002A1C2F" w:rsidTr="00B11680">
        <w:tc>
          <w:tcPr>
            <w:tcW w:w="1753" w:type="dxa"/>
            <w:vAlign w:val="center"/>
          </w:tcPr>
          <w:p w:rsidR="002A1C2F" w:rsidRDefault="002A1C2F" w:rsidP="00B11680">
            <w:pPr>
              <w:jc w:val="center"/>
            </w:pPr>
            <w:r>
              <w:t>2 150</w:t>
            </w:r>
          </w:p>
        </w:tc>
        <w:tc>
          <w:tcPr>
            <w:tcW w:w="2533" w:type="dxa"/>
            <w:vAlign w:val="center"/>
          </w:tcPr>
          <w:p w:rsidR="002A1C2F" w:rsidRDefault="002A1C2F" w:rsidP="00B11680">
            <w:pPr>
              <w:jc w:val="center"/>
            </w:pPr>
            <w:r>
              <w:t>27</w:t>
            </w:r>
          </w:p>
        </w:tc>
      </w:tr>
      <w:tr w:rsidR="002A1C2F" w:rsidTr="00B11680">
        <w:tc>
          <w:tcPr>
            <w:tcW w:w="1753" w:type="dxa"/>
            <w:vAlign w:val="center"/>
          </w:tcPr>
          <w:p w:rsidR="002A1C2F" w:rsidRDefault="002A1C2F" w:rsidP="00B11680">
            <w:pPr>
              <w:jc w:val="center"/>
            </w:pPr>
            <w:r>
              <w:t>2 250</w:t>
            </w:r>
          </w:p>
        </w:tc>
        <w:tc>
          <w:tcPr>
            <w:tcW w:w="2533" w:type="dxa"/>
            <w:vAlign w:val="center"/>
          </w:tcPr>
          <w:p w:rsidR="002A1C2F" w:rsidRDefault="002A1C2F" w:rsidP="00B11680">
            <w:pPr>
              <w:jc w:val="center"/>
            </w:pPr>
            <w:r>
              <w:t>21</w:t>
            </w:r>
          </w:p>
        </w:tc>
      </w:tr>
      <w:tr w:rsidR="002A1C2F" w:rsidTr="00B11680">
        <w:tc>
          <w:tcPr>
            <w:tcW w:w="1753" w:type="dxa"/>
            <w:vAlign w:val="center"/>
          </w:tcPr>
          <w:p w:rsidR="002A1C2F" w:rsidRDefault="002A1C2F" w:rsidP="00B11680">
            <w:pPr>
              <w:jc w:val="center"/>
            </w:pPr>
            <w:r>
              <w:t>2 350</w:t>
            </w:r>
          </w:p>
        </w:tc>
        <w:tc>
          <w:tcPr>
            <w:tcW w:w="2533" w:type="dxa"/>
            <w:vAlign w:val="center"/>
          </w:tcPr>
          <w:p w:rsidR="002A1C2F" w:rsidRDefault="002A1C2F" w:rsidP="00B11680">
            <w:pPr>
              <w:jc w:val="center"/>
            </w:pPr>
            <w:r>
              <w:t>23</w:t>
            </w:r>
          </w:p>
        </w:tc>
      </w:tr>
      <w:tr w:rsidR="002A1C2F" w:rsidTr="00B11680">
        <w:tc>
          <w:tcPr>
            <w:tcW w:w="1753" w:type="dxa"/>
            <w:vAlign w:val="center"/>
          </w:tcPr>
          <w:p w:rsidR="002A1C2F" w:rsidRDefault="002A1C2F" w:rsidP="00B11680">
            <w:pPr>
              <w:jc w:val="center"/>
            </w:pPr>
            <w:r>
              <w:t>2 450</w:t>
            </w:r>
          </w:p>
        </w:tc>
        <w:tc>
          <w:tcPr>
            <w:tcW w:w="2533" w:type="dxa"/>
            <w:vAlign w:val="center"/>
          </w:tcPr>
          <w:p w:rsidR="002A1C2F" w:rsidRDefault="002A1C2F" w:rsidP="00B11680">
            <w:pPr>
              <w:jc w:val="center"/>
            </w:pPr>
            <w:r>
              <w:t>48</w:t>
            </w:r>
          </w:p>
        </w:tc>
      </w:tr>
      <w:tr w:rsidR="002A1C2F" w:rsidTr="00B11680">
        <w:tc>
          <w:tcPr>
            <w:tcW w:w="1753" w:type="dxa"/>
            <w:vAlign w:val="center"/>
          </w:tcPr>
          <w:p w:rsidR="002A1C2F" w:rsidRDefault="002A1C2F" w:rsidP="00B11680">
            <w:pPr>
              <w:jc w:val="center"/>
            </w:pPr>
            <w:r>
              <w:t>2 550</w:t>
            </w:r>
          </w:p>
        </w:tc>
        <w:tc>
          <w:tcPr>
            <w:tcW w:w="2533" w:type="dxa"/>
            <w:vAlign w:val="center"/>
          </w:tcPr>
          <w:p w:rsidR="002A1C2F" w:rsidRDefault="002A1C2F" w:rsidP="00B11680">
            <w:pPr>
              <w:jc w:val="center"/>
            </w:pPr>
            <w:r>
              <w:t>51</w:t>
            </w:r>
          </w:p>
        </w:tc>
      </w:tr>
    </w:tbl>
    <w:p w:rsidR="002A1C2F" w:rsidRDefault="002A1C2F" w:rsidP="002A1C2F">
      <w:pPr>
        <w:pStyle w:val="Sous-titre"/>
      </w:pPr>
      <w:r>
        <w:t>EXERCICE 2</w:t>
      </w:r>
      <w:r>
        <w:rPr>
          <w:b w:val="0"/>
          <w:bCs w:val="0"/>
          <w:i/>
          <w:iCs/>
          <w:sz w:val="18"/>
          <w:u w:val="none"/>
        </w:rPr>
        <w:t xml:space="preserve"> (</w:t>
      </w:r>
      <w:r w:rsidR="002A625B">
        <w:rPr>
          <w:b w:val="0"/>
          <w:bCs w:val="0"/>
          <w:i/>
          <w:iCs/>
          <w:sz w:val="18"/>
          <w:u w:val="none"/>
        </w:rPr>
        <w:t>9</w:t>
      </w:r>
      <w:r>
        <w:rPr>
          <w:b w:val="0"/>
          <w:bCs w:val="0"/>
          <w:i/>
          <w:iCs/>
          <w:sz w:val="18"/>
          <w:u w:val="none"/>
        </w:rPr>
        <w:t xml:space="preserve"> points)</w:t>
      </w:r>
    </w:p>
    <w:p w:rsidR="002A1C2F" w:rsidRDefault="002A1C2F" w:rsidP="002A1C2F">
      <w:pPr>
        <w:rPr>
          <w:rFonts w:ascii="Comic Sans MS" w:hAnsi="Comic Sans MS"/>
          <w:sz w:val="16"/>
        </w:rPr>
      </w:pPr>
    </w:p>
    <w:p w:rsidR="002A1C2F" w:rsidRDefault="002A1C2F" w:rsidP="002A1C2F">
      <w:pPr>
        <w:rPr>
          <w:rFonts w:ascii="Comic Sans MS" w:hAnsi="Comic Sans MS"/>
          <w:sz w:val="22"/>
          <w:szCs w:val="22"/>
        </w:rPr>
      </w:pPr>
      <w:r>
        <w:rPr>
          <w:rFonts w:ascii="Comic Sans MS" w:hAnsi="Comic Sans MS"/>
          <w:sz w:val="22"/>
          <w:szCs w:val="22"/>
        </w:rPr>
        <w:t xml:space="preserve">Une petite ville d’une vallée savoyarde désire </w:t>
      </w:r>
    </w:p>
    <w:p w:rsidR="002A1C2F" w:rsidRDefault="002A1C2F" w:rsidP="002A1C2F">
      <w:pPr>
        <w:rPr>
          <w:rFonts w:ascii="Comic Sans MS" w:hAnsi="Comic Sans MS"/>
          <w:sz w:val="22"/>
          <w:szCs w:val="22"/>
        </w:rPr>
      </w:pPr>
      <w:proofErr w:type="gramStart"/>
      <w:r>
        <w:rPr>
          <w:rFonts w:ascii="Comic Sans MS" w:hAnsi="Comic Sans MS"/>
          <w:sz w:val="22"/>
          <w:szCs w:val="22"/>
        </w:rPr>
        <w:t>développer</w:t>
      </w:r>
      <w:proofErr w:type="gramEnd"/>
      <w:r>
        <w:rPr>
          <w:rFonts w:ascii="Comic Sans MS" w:hAnsi="Comic Sans MS"/>
          <w:sz w:val="22"/>
          <w:szCs w:val="22"/>
        </w:rPr>
        <w:t xml:space="preserve"> sa propre station de ski sur un domaine </w:t>
      </w:r>
    </w:p>
    <w:p w:rsidR="002A1C2F" w:rsidRDefault="002A1C2F" w:rsidP="002A1C2F">
      <w:pPr>
        <w:rPr>
          <w:rFonts w:ascii="Comic Sans MS" w:hAnsi="Comic Sans MS"/>
          <w:sz w:val="22"/>
          <w:szCs w:val="22"/>
        </w:rPr>
      </w:pPr>
      <w:proofErr w:type="gramStart"/>
      <w:r>
        <w:rPr>
          <w:rFonts w:ascii="Comic Sans MS" w:hAnsi="Comic Sans MS"/>
          <w:sz w:val="22"/>
          <w:szCs w:val="22"/>
        </w:rPr>
        <w:t>s’étalant</w:t>
      </w:r>
      <w:proofErr w:type="gramEnd"/>
      <w:r>
        <w:rPr>
          <w:rFonts w:ascii="Comic Sans MS" w:hAnsi="Comic Sans MS"/>
          <w:sz w:val="22"/>
          <w:szCs w:val="22"/>
        </w:rPr>
        <w:t xml:space="preserve"> entre 1 800 m et 3 050 m.</w:t>
      </w:r>
    </w:p>
    <w:p w:rsidR="002A1C2F" w:rsidRDefault="002A1C2F" w:rsidP="002A1C2F">
      <w:pPr>
        <w:rPr>
          <w:rFonts w:ascii="Comic Sans MS" w:hAnsi="Comic Sans MS"/>
          <w:sz w:val="22"/>
          <w:szCs w:val="22"/>
        </w:rPr>
      </w:pPr>
      <w:r>
        <w:rPr>
          <w:rFonts w:ascii="Comic Sans MS" w:hAnsi="Comic Sans MS"/>
          <w:sz w:val="22"/>
          <w:szCs w:val="22"/>
        </w:rPr>
        <w:t xml:space="preserve">Un bureau d’études lui propose une étude sur </w:t>
      </w:r>
    </w:p>
    <w:p w:rsidR="002A1C2F" w:rsidRDefault="002A1C2F" w:rsidP="002A1C2F">
      <w:pPr>
        <w:rPr>
          <w:rFonts w:ascii="Comic Sans MS" w:hAnsi="Comic Sans MS"/>
          <w:sz w:val="22"/>
          <w:szCs w:val="22"/>
        </w:rPr>
      </w:pPr>
      <w:proofErr w:type="gramStart"/>
      <w:r>
        <w:rPr>
          <w:rFonts w:ascii="Comic Sans MS" w:hAnsi="Comic Sans MS"/>
          <w:sz w:val="22"/>
          <w:szCs w:val="22"/>
        </w:rPr>
        <w:t>le</w:t>
      </w:r>
      <w:proofErr w:type="gramEnd"/>
      <w:r>
        <w:rPr>
          <w:rFonts w:ascii="Comic Sans MS" w:hAnsi="Comic Sans MS"/>
          <w:sz w:val="22"/>
          <w:szCs w:val="22"/>
        </w:rPr>
        <w:t xml:space="preserve"> nombre d’avalanches enregistrées les cinq dernières années, en fonction de l’altitude.</w:t>
      </w:r>
    </w:p>
    <w:p w:rsidR="002A1C2F" w:rsidRDefault="002A1C2F" w:rsidP="002A1C2F">
      <w:pPr>
        <w:rPr>
          <w:rFonts w:ascii="Comic Sans MS" w:hAnsi="Comic Sans MS"/>
          <w:sz w:val="22"/>
          <w:szCs w:val="22"/>
        </w:rPr>
      </w:pPr>
      <w:r>
        <w:rPr>
          <w:rFonts w:ascii="Comic Sans MS" w:hAnsi="Comic Sans MS"/>
          <w:sz w:val="22"/>
          <w:szCs w:val="22"/>
        </w:rPr>
        <w:t>Entre 1 850 m et 2 550 m les résultats sont les suivants :</w:t>
      </w:r>
    </w:p>
    <w:p w:rsidR="002A1C2F" w:rsidRPr="00014BA8" w:rsidRDefault="002A1C2F" w:rsidP="002A1C2F">
      <w:pPr>
        <w:rPr>
          <w:rFonts w:ascii="Comic Sans MS" w:hAnsi="Comic Sans MS"/>
          <w:sz w:val="22"/>
          <w:szCs w:val="22"/>
        </w:rPr>
      </w:pPr>
    </w:p>
    <w:p w:rsidR="002A1C2F" w:rsidRDefault="002A1C2F" w:rsidP="002A1C2F">
      <w:pPr>
        <w:rPr>
          <w:rFonts w:ascii="Comic Sans MS" w:hAnsi="Comic Sans MS"/>
          <w:sz w:val="22"/>
          <w:szCs w:val="22"/>
        </w:rPr>
      </w:pPr>
    </w:p>
    <w:p w:rsidR="002A1C2F" w:rsidRDefault="002A1C2F" w:rsidP="002A1C2F">
      <w:pPr>
        <w:pStyle w:val="Paragraphedeliste"/>
        <w:numPr>
          <w:ilvl w:val="0"/>
          <w:numId w:val="1"/>
        </w:numPr>
        <w:rPr>
          <w:rFonts w:ascii="Comic Sans MS" w:hAnsi="Comic Sans MS"/>
          <w:sz w:val="22"/>
          <w:szCs w:val="22"/>
        </w:rPr>
      </w:pPr>
      <w:r>
        <w:rPr>
          <w:rFonts w:ascii="Comic Sans MS" w:hAnsi="Comic Sans MS"/>
          <w:sz w:val="22"/>
          <w:szCs w:val="22"/>
        </w:rPr>
        <w:t>Quels commentaires peut-on faire sur l’évolution du nombre d’avalanches en fonction de l’altitude ? Est-ce surprenant ?</w:t>
      </w:r>
    </w:p>
    <w:p w:rsidR="002A1C2F" w:rsidRPr="00014BA8" w:rsidRDefault="002A1C2F" w:rsidP="002A1C2F">
      <w:pPr>
        <w:pStyle w:val="Paragraphedeliste"/>
        <w:numPr>
          <w:ilvl w:val="0"/>
          <w:numId w:val="1"/>
        </w:numPr>
        <w:rPr>
          <w:rFonts w:ascii="Comic Sans MS" w:hAnsi="Comic Sans MS"/>
          <w:sz w:val="22"/>
          <w:szCs w:val="22"/>
        </w:rPr>
      </w:pPr>
      <w:r>
        <w:rPr>
          <w:rFonts w:ascii="Comic Sans MS" w:hAnsi="Comic Sans MS"/>
          <w:sz w:val="22"/>
          <w:szCs w:val="22"/>
        </w:rPr>
        <w:t xml:space="preserve">Ouvrir le logiciel </w:t>
      </w:r>
      <w:proofErr w:type="spellStart"/>
      <w:r>
        <w:rPr>
          <w:rFonts w:ascii="Comic Sans MS" w:hAnsi="Comic Sans MS"/>
          <w:sz w:val="22"/>
          <w:szCs w:val="22"/>
        </w:rPr>
        <w:t>Géogébra</w:t>
      </w:r>
      <w:proofErr w:type="spellEnd"/>
      <w:r>
        <w:rPr>
          <w:rFonts w:ascii="Comic Sans MS" w:hAnsi="Comic Sans MS"/>
          <w:sz w:val="22"/>
          <w:szCs w:val="22"/>
        </w:rPr>
        <w:t xml:space="preserve"> et, à l’aide du tableur, représenter le nuage de points de coordonnées </w:t>
      </w:r>
      <m:oMath>
        <m: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sz w:val="22"/>
            <w:szCs w:val="22"/>
          </w:rPr>
          <m:t>)</m:t>
        </m:r>
      </m:oMath>
      <w:r>
        <w:rPr>
          <w:rFonts w:ascii="Comic Sans MS" w:hAnsi="Comic Sans MS"/>
          <w:sz w:val="22"/>
          <w:szCs w:val="22"/>
        </w:rPr>
        <w:t xml:space="preserve"> correspondant au tableau précédent.</w:t>
      </w:r>
    </w:p>
    <w:p w:rsidR="002A1C2F" w:rsidRPr="00014BA8" w:rsidRDefault="002A1C2F" w:rsidP="002A1C2F">
      <w:pPr>
        <w:rPr>
          <w:rFonts w:ascii="Comic Sans MS" w:hAnsi="Comic Sans MS"/>
          <w:sz w:val="22"/>
          <w:szCs w:val="22"/>
        </w:rPr>
      </w:pPr>
    </w:p>
    <w:p w:rsidR="002A1C2F" w:rsidRPr="005231E7" w:rsidRDefault="002A1C2F" w:rsidP="002A1C2F">
      <w:pPr>
        <w:jc w:val="center"/>
        <w:rPr>
          <w:rFonts w:ascii="Comic Sans MS" w:hAnsi="Comic Sans MS"/>
          <w:b/>
          <w:sz w:val="22"/>
          <w:szCs w:val="22"/>
        </w:rPr>
      </w:pPr>
      <w:r w:rsidRPr="005231E7">
        <w:rPr>
          <w:rFonts w:ascii="Comic Sans MS" w:hAnsi="Comic Sans MS"/>
          <w:b/>
          <w:sz w:val="22"/>
          <w:szCs w:val="22"/>
        </w:rPr>
        <w:t>APPEL : faire vérifier votre nuage de points</w:t>
      </w:r>
    </w:p>
    <w:p w:rsidR="002A1C2F" w:rsidRDefault="002A1C2F" w:rsidP="002A1C2F">
      <w:pPr>
        <w:rPr>
          <w:rFonts w:ascii="Comic Sans MS" w:hAnsi="Comic Sans MS"/>
          <w:sz w:val="22"/>
          <w:szCs w:val="22"/>
        </w:rPr>
      </w:pPr>
    </w:p>
    <w:p w:rsidR="002A1C2F" w:rsidRDefault="002A1C2F" w:rsidP="002A1C2F">
      <w:pPr>
        <w:pStyle w:val="Paragraphedeliste"/>
        <w:numPr>
          <w:ilvl w:val="0"/>
          <w:numId w:val="1"/>
        </w:numPr>
        <w:spacing w:line="276" w:lineRule="auto"/>
        <w:rPr>
          <w:rFonts w:ascii="Comic Sans MS" w:hAnsi="Comic Sans MS"/>
          <w:sz w:val="22"/>
          <w:szCs w:val="22"/>
        </w:rPr>
      </w:pPr>
      <w:r>
        <w:rPr>
          <w:rFonts w:ascii="Comic Sans MS" w:hAnsi="Comic Sans MS"/>
          <w:sz w:val="22"/>
          <w:szCs w:val="22"/>
        </w:rPr>
        <w:t xml:space="preserve">Un ajustement </w:t>
      </w:r>
      <w:proofErr w:type="gramStart"/>
      <w:r>
        <w:rPr>
          <w:rFonts w:ascii="Comic Sans MS" w:hAnsi="Comic Sans MS"/>
          <w:sz w:val="22"/>
          <w:szCs w:val="22"/>
        </w:rPr>
        <w:t>affine</w:t>
      </w:r>
      <w:proofErr w:type="gramEnd"/>
      <w:r>
        <w:rPr>
          <w:rFonts w:ascii="Comic Sans MS" w:hAnsi="Comic Sans MS"/>
          <w:sz w:val="22"/>
          <w:szCs w:val="22"/>
        </w:rPr>
        <w:t xml:space="preserve"> du nuage de points est-il envisageable ? Justifier.</w:t>
      </w:r>
    </w:p>
    <w:p w:rsidR="002A1C2F" w:rsidRDefault="002A1C2F" w:rsidP="002A1C2F">
      <w:pPr>
        <w:pStyle w:val="Paragraphedeliste"/>
        <w:numPr>
          <w:ilvl w:val="0"/>
          <w:numId w:val="1"/>
        </w:numPr>
        <w:spacing w:line="276" w:lineRule="auto"/>
        <w:rPr>
          <w:rFonts w:ascii="Comic Sans MS" w:hAnsi="Comic Sans MS"/>
          <w:sz w:val="22"/>
          <w:szCs w:val="22"/>
        </w:rPr>
      </w:pPr>
      <w:r>
        <w:rPr>
          <w:rFonts w:ascii="Comic Sans MS" w:hAnsi="Comic Sans MS"/>
          <w:sz w:val="22"/>
          <w:szCs w:val="22"/>
        </w:rPr>
        <w:t>Calculer les coordonnées du point moyen G de ce nuage de points.</w:t>
      </w:r>
    </w:p>
    <w:p w:rsidR="002A1C2F" w:rsidRDefault="002A1C2F" w:rsidP="002A1C2F">
      <w:pPr>
        <w:pStyle w:val="Paragraphedeliste"/>
        <w:numPr>
          <w:ilvl w:val="0"/>
          <w:numId w:val="1"/>
        </w:numPr>
        <w:spacing w:line="276" w:lineRule="auto"/>
        <w:rPr>
          <w:rFonts w:ascii="Comic Sans MS" w:hAnsi="Comic Sans MS"/>
          <w:sz w:val="22"/>
          <w:szCs w:val="22"/>
        </w:rPr>
      </w:pPr>
      <w:r>
        <w:rPr>
          <w:rFonts w:ascii="Comic Sans MS" w:hAnsi="Comic Sans MS"/>
          <w:sz w:val="22"/>
          <w:szCs w:val="22"/>
        </w:rPr>
        <w:t>Placer le point G sur le graphique.</w:t>
      </w:r>
    </w:p>
    <w:p w:rsidR="002A1C2F" w:rsidRDefault="002A1C2F" w:rsidP="002A1C2F">
      <w:pPr>
        <w:pStyle w:val="Paragraphedeliste"/>
        <w:numPr>
          <w:ilvl w:val="0"/>
          <w:numId w:val="1"/>
        </w:numPr>
        <w:spacing w:line="276" w:lineRule="auto"/>
        <w:rPr>
          <w:rFonts w:ascii="Comic Sans MS" w:hAnsi="Comic Sans MS"/>
          <w:sz w:val="22"/>
          <w:szCs w:val="22"/>
        </w:rPr>
      </w:pPr>
      <w:r>
        <w:rPr>
          <w:rFonts w:ascii="Comic Sans MS" w:hAnsi="Comic Sans MS"/>
          <w:sz w:val="22"/>
          <w:szCs w:val="22"/>
        </w:rPr>
        <w:t>Construire une droite d’ajustement affine de ce nuage de points.</w:t>
      </w:r>
    </w:p>
    <w:p w:rsidR="002A1C2F" w:rsidRDefault="002A1C2F" w:rsidP="002A1C2F">
      <w:pPr>
        <w:pStyle w:val="Paragraphedeliste"/>
        <w:spacing w:line="276" w:lineRule="auto"/>
        <w:rPr>
          <w:rFonts w:ascii="Comic Sans MS" w:hAnsi="Comic Sans MS"/>
          <w:sz w:val="22"/>
          <w:szCs w:val="22"/>
        </w:rPr>
      </w:pPr>
    </w:p>
    <w:p w:rsidR="002A1C2F" w:rsidRDefault="002A1C2F" w:rsidP="002A1C2F">
      <w:pPr>
        <w:spacing w:line="276" w:lineRule="auto"/>
        <w:jc w:val="center"/>
        <w:rPr>
          <w:rFonts w:ascii="Comic Sans MS" w:hAnsi="Comic Sans MS"/>
          <w:b/>
          <w:sz w:val="22"/>
          <w:szCs w:val="22"/>
        </w:rPr>
      </w:pPr>
      <w:r w:rsidRPr="005231E7">
        <w:rPr>
          <w:rFonts w:ascii="Comic Sans MS" w:hAnsi="Comic Sans MS"/>
          <w:b/>
          <w:sz w:val="22"/>
          <w:szCs w:val="22"/>
        </w:rPr>
        <w:t xml:space="preserve">APPEL : faire vérifier votre </w:t>
      </w:r>
      <w:r>
        <w:rPr>
          <w:rFonts w:ascii="Comic Sans MS" w:hAnsi="Comic Sans MS"/>
          <w:b/>
          <w:sz w:val="22"/>
          <w:szCs w:val="22"/>
        </w:rPr>
        <w:t>droite d’ajustement</w:t>
      </w:r>
    </w:p>
    <w:p w:rsidR="002A1C2F" w:rsidRPr="005231E7" w:rsidRDefault="002A1C2F" w:rsidP="002A1C2F">
      <w:pPr>
        <w:spacing w:line="276" w:lineRule="auto"/>
        <w:jc w:val="center"/>
        <w:rPr>
          <w:rFonts w:ascii="Comic Sans MS" w:hAnsi="Comic Sans MS"/>
          <w:sz w:val="22"/>
          <w:szCs w:val="22"/>
        </w:rPr>
      </w:pPr>
    </w:p>
    <w:p w:rsidR="002A1C2F" w:rsidRDefault="002A1C2F" w:rsidP="002A1C2F">
      <w:pPr>
        <w:pStyle w:val="Paragraphedeliste"/>
        <w:numPr>
          <w:ilvl w:val="0"/>
          <w:numId w:val="1"/>
        </w:numPr>
        <w:spacing w:line="276" w:lineRule="auto"/>
        <w:rPr>
          <w:rFonts w:ascii="Comic Sans MS" w:hAnsi="Comic Sans MS"/>
          <w:sz w:val="22"/>
          <w:szCs w:val="22"/>
        </w:rPr>
      </w:pPr>
      <w:r>
        <w:rPr>
          <w:rFonts w:ascii="Comic Sans MS" w:hAnsi="Comic Sans MS"/>
          <w:sz w:val="22"/>
          <w:szCs w:val="22"/>
        </w:rPr>
        <w:t xml:space="preserve">Déterminer à l’aide de </w:t>
      </w:r>
      <w:proofErr w:type="spellStart"/>
      <w:r>
        <w:rPr>
          <w:rFonts w:ascii="Comic Sans MS" w:hAnsi="Comic Sans MS"/>
          <w:sz w:val="22"/>
          <w:szCs w:val="22"/>
        </w:rPr>
        <w:t>Géogébra</w:t>
      </w:r>
      <w:proofErr w:type="spellEnd"/>
      <w:r>
        <w:rPr>
          <w:rFonts w:ascii="Comic Sans MS" w:hAnsi="Comic Sans MS"/>
          <w:sz w:val="22"/>
          <w:szCs w:val="22"/>
        </w:rPr>
        <w:t xml:space="preserve"> une équation de la droite d’ajustement.</w:t>
      </w:r>
    </w:p>
    <w:p w:rsidR="00E2185B" w:rsidRDefault="002A1C2F" w:rsidP="002A1C2F">
      <w:pPr>
        <w:pStyle w:val="Paragraphedeliste"/>
        <w:numPr>
          <w:ilvl w:val="0"/>
          <w:numId w:val="1"/>
        </w:numPr>
        <w:spacing w:line="276" w:lineRule="auto"/>
      </w:pPr>
      <w:r w:rsidRPr="002A1C2F">
        <w:rPr>
          <w:rFonts w:ascii="Comic Sans MS" w:hAnsi="Comic Sans MS"/>
          <w:sz w:val="22"/>
          <w:szCs w:val="22"/>
        </w:rPr>
        <w:t>Déterminer graphiquement, puis par le calcul, quel serait le nombre d’avalanches prévisibles pour une altitude de 3 050 m.</w:t>
      </w:r>
    </w:p>
    <w:sectPr w:rsidR="00E2185B" w:rsidSect="007661B0">
      <w:footerReference w:type="default" r:id="rId9"/>
      <w:pgSz w:w="11906" w:h="16838"/>
      <w:pgMar w:top="709" w:right="566" w:bottom="709" w:left="709"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5233">
      <w:r>
        <w:separator/>
      </w:r>
    </w:p>
  </w:endnote>
  <w:endnote w:type="continuationSeparator" w:id="0">
    <w:p w:rsidR="00000000" w:rsidRDefault="006F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2940325"/>
      <w:docPartObj>
        <w:docPartGallery w:val="Page Numbers (Bottom of Page)"/>
        <w:docPartUnique/>
      </w:docPartObj>
    </w:sdtPr>
    <w:sdtEndPr/>
    <w:sdtContent>
      <w:sdt>
        <w:sdtPr>
          <w:rPr>
            <w:i/>
            <w:sz w:val="16"/>
            <w:szCs w:val="16"/>
          </w:rPr>
          <w:id w:val="123787560"/>
          <w:docPartObj>
            <w:docPartGallery w:val="Page Numbers (Top of Page)"/>
            <w:docPartUnique/>
          </w:docPartObj>
        </w:sdtPr>
        <w:sdtEndPr/>
        <w:sdtContent>
          <w:p w:rsidR="00AA637D" w:rsidRPr="0030524C" w:rsidRDefault="000B42F2">
            <w:pPr>
              <w:pStyle w:val="Pieddepage"/>
              <w:jc w:val="center"/>
              <w:rPr>
                <w:i/>
                <w:sz w:val="16"/>
                <w:szCs w:val="16"/>
              </w:rPr>
            </w:pPr>
            <w:r w:rsidRPr="0030524C">
              <w:rPr>
                <w:i/>
                <w:sz w:val="16"/>
                <w:szCs w:val="16"/>
              </w:rPr>
              <w:t xml:space="preserve">Page </w:t>
            </w:r>
            <w:r w:rsidRPr="0030524C">
              <w:rPr>
                <w:b/>
                <w:i/>
                <w:sz w:val="16"/>
                <w:szCs w:val="16"/>
              </w:rPr>
              <w:fldChar w:fldCharType="begin"/>
            </w:r>
            <w:r w:rsidRPr="0030524C">
              <w:rPr>
                <w:b/>
                <w:i/>
                <w:sz w:val="16"/>
                <w:szCs w:val="16"/>
              </w:rPr>
              <w:instrText>PAGE</w:instrText>
            </w:r>
            <w:r w:rsidRPr="0030524C">
              <w:rPr>
                <w:b/>
                <w:i/>
                <w:sz w:val="16"/>
                <w:szCs w:val="16"/>
              </w:rPr>
              <w:fldChar w:fldCharType="separate"/>
            </w:r>
            <w:r w:rsidR="006F5233">
              <w:rPr>
                <w:b/>
                <w:i/>
                <w:noProof/>
                <w:sz w:val="16"/>
                <w:szCs w:val="16"/>
              </w:rPr>
              <w:t>2</w:t>
            </w:r>
            <w:r w:rsidRPr="0030524C">
              <w:rPr>
                <w:b/>
                <w:i/>
                <w:sz w:val="16"/>
                <w:szCs w:val="16"/>
              </w:rPr>
              <w:fldChar w:fldCharType="end"/>
            </w:r>
            <w:r w:rsidRPr="0030524C">
              <w:rPr>
                <w:i/>
                <w:sz w:val="16"/>
                <w:szCs w:val="16"/>
              </w:rPr>
              <w:t xml:space="preserve"> sur </w:t>
            </w:r>
            <w:r w:rsidRPr="0030524C">
              <w:rPr>
                <w:b/>
                <w:i/>
                <w:sz w:val="16"/>
                <w:szCs w:val="16"/>
              </w:rPr>
              <w:fldChar w:fldCharType="begin"/>
            </w:r>
            <w:r w:rsidRPr="0030524C">
              <w:rPr>
                <w:b/>
                <w:i/>
                <w:sz w:val="16"/>
                <w:szCs w:val="16"/>
              </w:rPr>
              <w:instrText>NUMPAGES</w:instrText>
            </w:r>
            <w:r w:rsidRPr="0030524C">
              <w:rPr>
                <w:b/>
                <w:i/>
                <w:sz w:val="16"/>
                <w:szCs w:val="16"/>
              </w:rPr>
              <w:fldChar w:fldCharType="separate"/>
            </w:r>
            <w:r w:rsidR="006F5233">
              <w:rPr>
                <w:b/>
                <w:i/>
                <w:noProof/>
                <w:sz w:val="16"/>
                <w:szCs w:val="16"/>
              </w:rPr>
              <w:t>2</w:t>
            </w:r>
            <w:r w:rsidRPr="0030524C">
              <w:rPr>
                <w:b/>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5233">
      <w:r>
        <w:separator/>
      </w:r>
    </w:p>
  </w:footnote>
  <w:footnote w:type="continuationSeparator" w:id="0">
    <w:p w:rsidR="00000000" w:rsidRDefault="006F5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6F7"/>
    <w:multiLevelType w:val="hybridMultilevel"/>
    <w:tmpl w:val="8738DF50"/>
    <w:lvl w:ilvl="0" w:tplc="81343C2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41690EBE"/>
    <w:multiLevelType w:val="hybridMultilevel"/>
    <w:tmpl w:val="3D600844"/>
    <w:lvl w:ilvl="0" w:tplc="53EE21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9E7749"/>
    <w:multiLevelType w:val="hybridMultilevel"/>
    <w:tmpl w:val="31981148"/>
    <w:lvl w:ilvl="0" w:tplc="47A858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C2F"/>
    <w:rsid w:val="000B42F2"/>
    <w:rsid w:val="0011459A"/>
    <w:rsid w:val="002A1C2F"/>
    <w:rsid w:val="002A625B"/>
    <w:rsid w:val="006F5233"/>
    <w:rsid w:val="00952B64"/>
    <w:rsid w:val="00E2185B"/>
    <w:rsid w:val="00F16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2A1C2F"/>
    <w:rPr>
      <w:rFonts w:ascii="Comic Sans MS" w:hAnsi="Comic Sans MS"/>
      <w:b/>
      <w:bCs/>
      <w:u w:val="thick"/>
    </w:rPr>
  </w:style>
  <w:style w:type="character" w:customStyle="1" w:styleId="Sous-titreCar">
    <w:name w:val="Sous-titre Car"/>
    <w:basedOn w:val="Policepardfaut"/>
    <w:link w:val="Sous-titre"/>
    <w:rsid w:val="002A1C2F"/>
    <w:rPr>
      <w:rFonts w:ascii="Comic Sans MS" w:eastAsia="Times New Roman" w:hAnsi="Comic Sans MS" w:cs="Times New Roman"/>
      <w:b/>
      <w:bCs/>
      <w:sz w:val="24"/>
      <w:szCs w:val="24"/>
      <w:u w:val="thick"/>
      <w:lang w:eastAsia="fr-FR"/>
    </w:rPr>
  </w:style>
  <w:style w:type="paragraph" w:styleId="Titre">
    <w:name w:val="Title"/>
    <w:basedOn w:val="Normal"/>
    <w:link w:val="TitreCar"/>
    <w:qFormat/>
    <w:rsid w:val="002A1C2F"/>
    <w:pPr>
      <w:pBdr>
        <w:top w:val="single" w:sz="12" w:space="1" w:color="auto"/>
        <w:left w:val="single" w:sz="12" w:space="4" w:color="auto"/>
        <w:bottom w:val="single" w:sz="12" w:space="1" w:color="auto"/>
        <w:right w:val="single" w:sz="12" w:space="4" w:color="auto"/>
      </w:pBdr>
      <w:shd w:val="clear" w:color="auto" w:fill="E0E0E0"/>
      <w:jc w:val="center"/>
    </w:pPr>
    <w:rPr>
      <w:rFonts w:ascii="Comic Sans MS" w:hAnsi="Comic Sans MS"/>
      <w:b/>
      <w:bCs/>
      <w:sz w:val="28"/>
    </w:rPr>
  </w:style>
  <w:style w:type="character" w:customStyle="1" w:styleId="TitreCar">
    <w:name w:val="Titre Car"/>
    <w:basedOn w:val="Policepardfaut"/>
    <w:link w:val="Titre"/>
    <w:rsid w:val="002A1C2F"/>
    <w:rPr>
      <w:rFonts w:ascii="Comic Sans MS" w:eastAsia="Times New Roman" w:hAnsi="Comic Sans MS" w:cs="Times New Roman"/>
      <w:b/>
      <w:bCs/>
      <w:sz w:val="28"/>
      <w:szCs w:val="24"/>
      <w:shd w:val="clear" w:color="auto" w:fill="E0E0E0"/>
      <w:lang w:eastAsia="fr-FR"/>
    </w:rPr>
  </w:style>
  <w:style w:type="table" w:styleId="Grilledutableau">
    <w:name w:val="Table Grid"/>
    <w:basedOn w:val="TableauNormal"/>
    <w:uiPriority w:val="59"/>
    <w:rsid w:val="002A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1C2F"/>
    <w:pPr>
      <w:ind w:left="720"/>
      <w:contextualSpacing/>
    </w:pPr>
  </w:style>
  <w:style w:type="paragraph" w:styleId="Pieddepage">
    <w:name w:val="footer"/>
    <w:basedOn w:val="Normal"/>
    <w:link w:val="PieddepageCar"/>
    <w:uiPriority w:val="99"/>
    <w:unhideWhenUsed/>
    <w:rsid w:val="002A1C2F"/>
    <w:pPr>
      <w:tabs>
        <w:tab w:val="center" w:pos="4536"/>
        <w:tab w:val="right" w:pos="9072"/>
      </w:tabs>
    </w:pPr>
  </w:style>
  <w:style w:type="character" w:customStyle="1" w:styleId="PieddepageCar">
    <w:name w:val="Pied de page Car"/>
    <w:basedOn w:val="Policepardfaut"/>
    <w:link w:val="Pieddepage"/>
    <w:uiPriority w:val="99"/>
    <w:rsid w:val="002A1C2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A1C2F"/>
    <w:rPr>
      <w:rFonts w:ascii="Tahoma" w:hAnsi="Tahoma" w:cs="Tahoma"/>
      <w:sz w:val="16"/>
      <w:szCs w:val="16"/>
    </w:rPr>
  </w:style>
  <w:style w:type="character" w:customStyle="1" w:styleId="TextedebullesCar">
    <w:name w:val="Texte de bulles Car"/>
    <w:basedOn w:val="Policepardfaut"/>
    <w:link w:val="Textedebulles"/>
    <w:uiPriority w:val="99"/>
    <w:semiHidden/>
    <w:rsid w:val="002A1C2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508</Words>
  <Characters>2798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Soazig</dc:creator>
  <cp:lastModifiedBy>RECTORAT</cp:lastModifiedBy>
  <cp:revision>4</cp:revision>
  <cp:lastPrinted>2017-09-04T14:16:00Z</cp:lastPrinted>
  <dcterms:created xsi:type="dcterms:W3CDTF">2017-09-04T13:13:00Z</dcterms:created>
  <dcterms:modified xsi:type="dcterms:W3CDTF">2017-12-22T13:33:00Z</dcterms:modified>
</cp:coreProperties>
</file>